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9D" w:rsidRPr="00BE069D" w:rsidRDefault="00BE069D">
      <w:pPr>
        <w:rPr>
          <w:rFonts w:ascii="Arial" w:hAnsi="Arial" w:cs="Arial"/>
          <w:sz w:val="32"/>
          <w:szCs w:val="32"/>
        </w:rPr>
      </w:pPr>
      <w:r w:rsidRPr="00BE069D">
        <w:rPr>
          <w:rFonts w:ascii="Arial" w:hAnsi="Arial" w:cs="Arial"/>
          <w:sz w:val="32"/>
          <w:szCs w:val="32"/>
        </w:rPr>
        <w:t>ALESSIO ARENA</w:t>
      </w:r>
    </w:p>
    <w:p w:rsidR="00BE069D" w:rsidRPr="00BE069D" w:rsidRDefault="00BE069D">
      <w:pPr>
        <w:rPr>
          <w:rFonts w:ascii="Arial" w:hAnsi="Arial" w:cs="Arial"/>
          <w:sz w:val="32"/>
          <w:szCs w:val="32"/>
        </w:rPr>
      </w:pPr>
      <w:r w:rsidRPr="00BE069D">
        <w:rPr>
          <w:rFonts w:ascii="Arial" w:hAnsi="Arial" w:cs="Arial"/>
          <w:sz w:val="32"/>
          <w:szCs w:val="32"/>
        </w:rPr>
        <w:t>Dove vanno gli italiani?</w:t>
      </w:r>
    </w:p>
    <w:tbl>
      <w:tblPr>
        <w:tblW w:w="90" w:type="pct"/>
        <w:tblCellSpacing w:w="15" w:type="dxa"/>
        <w:tblInd w:w="120" w:type="dxa"/>
        <w:tblCellMar>
          <w:left w:w="0" w:type="dxa"/>
          <w:right w:w="0" w:type="dxa"/>
        </w:tblCellMar>
        <w:tblLook w:val="04A0"/>
      </w:tblPr>
      <w:tblGrid>
        <w:gridCol w:w="52"/>
        <w:gridCol w:w="36"/>
        <w:gridCol w:w="36"/>
        <w:gridCol w:w="51"/>
      </w:tblGrid>
      <w:tr w:rsidR="00BE069D" w:rsidRPr="00BE069D" w:rsidTr="00BE069D">
        <w:trPr>
          <w:tblCellSpacing w:w="15" w:type="dxa"/>
        </w:trPr>
        <w:tc>
          <w:tcPr>
            <w:tcW w:w="172" w:type="pct"/>
            <w:vAlign w:val="center"/>
            <w:hideMark/>
          </w:tcPr>
          <w:p w:rsidR="00BE069D" w:rsidRPr="00BE069D" w:rsidRDefault="00BE069D" w:rsidP="00BE069D">
            <w:pPr>
              <w:spacing w:before="30" w:after="30" w:line="312" w:lineRule="atLeast"/>
              <w:rPr>
                <w:rFonts w:ascii="Arial" w:eastAsia="Times New Roman" w:hAnsi="Arial" w:cs="Arial"/>
                <w:b/>
                <w:bCs/>
                <w:color w:val="B1291E"/>
                <w:sz w:val="32"/>
                <w:szCs w:val="32"/>
                <w:lang w:eastAsia="it-IT"/>
              </w:rPr>
            </w:pPr>
          </w:p>
        </w:tc>
        <w:tc>
          <w:tcPr>
            <w:tcW w:w="172" w:type="pct"/>
            <w:vAlign w:val="center"/>
            <w:hideMark/>
          </w:tcPr>
          <w:p w:rsidR="00BE069D" w:rsidRPr="00BE069D" w:rsidRDefault="00BE069D" w:rsidP="00BE069D">
            <w:pPr>
              <w:spacing w:before="30" w:after="30" w:line="312" w:lineRule="atLeast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it-IT"/>
              </w:rPr>
            </w:pPr>
          </w:p>
        </w:tc>
        <w:tc>
          <w:tcPr>
            <w:tcW w:w="172" w:type="pct"/>
            <w:vAlign w:val="center"/>
            <w:hideMark/>
          </w:tcPr>
          <w:p w:rsidR="00BE069D" w:rsidRPr="00BE069D" w:rsidRDefault="00BE069D" w:rsidP="00BE069D">
            <w:pPr>
              <w:spacing w:before="30" w:after="30" w:line="312" w:lineRule="atLeast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it-IT"/>
              </w:rPr>
            </w:pPr>
          </w:p>
        </w:tc>
        <w:tc>
          <w:tcPr>
            <w:tcW w:w="172" w:type="pct"/>
            <w:vAlign w:val="center"/>
            <w:hideMark/>
          </w:tcPr>
          <w:p w:rsidR="00BE069D" w:rsidRPr="00BE069D" w:rsidRDefault="00BE069D" w:rsidP="00BE069D">
            <w:pPr>
              <w:spacing w:before="30" w:after="30" w:line="312" w:lineRule="atLeast"/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it-IT"/>
              </w:rPr>
            </w:pPr>
          </w:p>
        </w:tc>
      </w:tr>
    </w:tbl>
    <w:p w:rsidR="00BE069D" w:rsidRPr="00BE069D" w:rsidRDefault="00BE069D" w:rsidP="00BE069D">
      <w:pPr>
        <w:shd w:val="clear" w:color="auto" w:fill="FFFFFF"/>
        <w:spacing w:after="90" w:line="312" w:lineRule="atLeast"/>
        <w:rPr>
          <w:rFonts w:ascii="Tahoma" w:eastAsia="Times New Roman" w:hAnsi="Tahoma" w:cs="Tahoma"/>
          <w:vanish/>
          <w:color w:val="333333"/>
          <w:sz w:val="18"/>
          <w:szCs w:val="18"/>
          <w:lang w:eastAsia="it-IT"/>
        </w:rPr>
      </w:pPr>
    </w:p>
    <w:tbl>
      <w:tblPr>
        <w:tblW w:w="0" w:type="auto"/>
        <w:tblCellSpacing w:w="15" w:type="dxa"/>
        <w:tblInd w:w="120" w:type="dxa"/>
        <w:tblCellMar>
          <w:left w:w="0" w:type="dxa"/>
          <w:right w:w="0" w:type="dxa"/>
        </w:tblCellMar>
        <w:tblLook w:val="04A0"/>
      </w:tblPr>
      <w:tblGrid>
        <w:gridCol w:w="9578"/>
      </w:tblGrid>
      <w:tr w:rsidR="00BE069D" w:rsidRPr="00BE069D" w:rsidTr="00BE069D">
        <w:trPr>
          <w:tblCellSpacing w:w="15" w:type="dxa"/>
        </w:trPr>
        <w:tc>
          <w:tcPr>
            <w:tcW w:w="0" w:type="auto"/>
            <w:hideMark/>
          </w:tcPr>
          <w:p w:rsidR="00BE069D" w:rsidRPr="00BE069D" w:rsidRDefault="00BE069D" w:rsidP="00BE069D">
            <w:pPr>
              <w:spacing w:after="75" w:line="312" w:lineRule="atLeast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it-IT"/>
              </w:rPr>
            </w:pPr>
            <w:r w:rsidRPr="00BE069D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it-IT"/>
              </w:rPr>
              <w:drawing>
                <wp:inline distT="0" distB="0" distL="0" distR="0">
                  <wp:extent cx="2047875" cy="3009900"/>
                  <wp:effectExtent l="19050" t="0" r="9525" b="0"/>
                  <wp:docPr id="4" name="Immagine 4" descr="Copertina del li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pertina del li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69D" w:rsidRPr="00BE069D" w:rsidRDefault="00BE069D" w:rsidP="00BE069D">
            <w:pPr>
              <w:spacing w:after="75" w:line="312" w:lineRule="atLeast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it-IT"/>
              </w:rPr>
            </w:pPr>
            <w:r w:rsidRPr="00BE069D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it-IT"/>
              </w:rPr>
              <w:t>La crisi ha prodotto nel nostro paese un fenomeno inedito: con l'insediamento del governo Monti, i fiduciari delle più alte istanze finanziarie e bancarie hanno preso la testa delle istituzioni dello Stato senza l'avallo delle urne. Questa svolta ha rappresentato il vero e proprio atto d'inizio della nuova fase politica che viene indicata giornalisticamente come «Terza Repubblica». La distruzione delle conquiste sociali accelera nel quadro determinato dalle politiche della «trojka» UE-BCE-FMI, con l'entusiastico sostegno di un padronato che non rispetta nemmeno più la contrattazione collettiva. Una situazione che non può non preoccupare i democratici e i progressisti di tutta Europa, consapevoli del ruolo pionieristico che l'Italia ha già giocato in passato nell'invenzione di nuovi sistemi repressivi e reazionari, a cominciare dal fascismo.</w:t>
            </w:r>
          </w:p>
          <w:p w:rsidR="00BE069D" w:rsidRPr="00BE069D" w:rsidRDefault="00BE069D" w:rsidP="00BE069D">
            <w:pPr>
              <w:spacing w:after="75" w:line="312" w:lineRule="atLeast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it-IT"/>
              </w:rPr>
            </w:pPr>
            <w:r w:rsidRPr="00BE069D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it-IT"/>
              </w:rPr>
              <w:t>La risposta è da cercare nelle radici democratiche e antifasciste di un popolo che nulla ha potuto scuotere e che, dal Risorgimento alla Resistenza, si è sempre levato contro l'oppressione. Un popolo che ha come arma una delle Costituzioni più progressiste del mondo, risultato di tanti anni di lotte.</w:t>
            </w:r>
          </w:p>
          <w:p w:rsidR="00BE069D" w:rsidRPr="00BE069D" w:rsidRDefault="00BE069D" w:rsidP="00BE069D">
            <w:pPr>
              <w:spacing w:after="75" w:line="312" w:lineRule="atLeast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it-IT"/>
              </w:rPr>
            </w:pPr>
            <w:r w:rsidRPr="00BE069D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it-IT"/>
              </w:rPr>
              <w:t>Quali forze sociali sostengono il nuovo autoritarismo tecnocratico? Qual è la loro ideologia? Quali fattori sono irrinunciabili per rovesciare la situazione? Dalla risposta a questi quesiti dipende il futuro del nostro paese, ma non solo.</w:t>
            </w:r>
          </w:p>
          <w:p w:rsidR="00BE069D" w:rsidRPr="00BE069D" w:rsidRDefault="00BE069D" w:rsidP="00BE069D">
            <w:pPr>
              <w:spacing w:after="75" w:line="312" w:lineRule="atLeast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it-IT"/>
              </w:rPr>
            </w:pPr>
            <w:r w:rsidRPr="00BE069D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it-IT"/>
              </w:rPr>
              <w:t> </w:t>
            </w:r>
          </w:p>
          <w:p w:rsidR="00BE069D" w:rsidRPr="00BE069D" w:rsidRDefault="00BE069D" w:rsidP="00BE069D">
            <w:pPr>
              <w:spacing w:after="75" w:line="312" w:lineRule="atLeast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it-IT"/>
              </w:rPr>
            </w:pPr>
            <w:r w:rsidRPr="00BE069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it-IT"/>
              </w:rPr>
              <w:t>Alessio Arena</w:t>
            </w:r>
            <w:r w:rsidRPr="00BE069D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it-IT"/>
              </w:rPr>
              <w:t xml:space="preserve"> (1984) ha curato e introdotto per la casa editrice Edizioni </w:t>
            </w:r>
            <w:proofErr w:type="spellStart"/>
            <w:r w:rsidRPr="00BE069D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it-IT"/>
              </w:rPr>
              <w:t>Nemesis</w:t>
            </w:r>
            <w:proofErr w:type="spellEnd"/>
            <w:r w:rsidRPr="00BE069D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it-IT"/>
              </w:rPr>
              <w:t xml:space="preserve"> l'edizione italiana degli </w:t>
            </w:r>
            <w:r w:rsidRPr="00BE069D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it-IT"/>
              </w:rPr>
              <w:t>Appunti dal carcere</w:t>
            </w:r>
            <w:r w:rsidRPr="00BE069D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it-IT"/>
              </w:rPr>
              <w:t xml:space="preserve"> di Erich </w:t>
            </w:r>
            <w:proofErr w:type="spellStart"/>
            <w:r w:rsidRPr="00BE069D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it-IT"/>
              </w:rPr>
              <w:t>Honecker</w:t>
            </w:r>
            <w:proofErr w:type="spellEnd"/>
            <w:r w:rsidRPr="00BE069D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it-IT"/>
              </w:rPr>
              <w:t xml:space="preserve">. </w:t>
            </w:r>
            <w:r w:rsidRPr="00BE069D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it-IT"/>
              </w:rPr>
              <w:t>Dove vanno gli italiani?</w:t>
            </w:r>
            <w:r w:rsidRPr="00BE069D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it-IT"/>
              </w:rPr>
              <w:t>, scritto su richiesta di un editore francese all'indomani dell'insediamento del governo Monti, viene pubblicato in Italia a pochi mesi dalla diffusione oltralpe.</w:t>
            </w:r>
          </w:p>
        </w:tc>
      </w:tr>
    </w:tbl>
    <w:p w:rsidR="00D17495" w:rsidRPr="00BE069D" w:rsidRDefault="00D17495">
      <w:pPr>
        <w:rPr>
          <w:sz w:val="24"/>
          <w:szCs w:val="24"/>
        </w:rPr>
      </w:pPr>
    </w:p>
    <w:sectPr w:rsidR="00D17495" w:rsidRPr="00BE069D" w:rsidSect="00BE069D"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069D"/>
    <w:rsid w:val="009E53FF"/>
    <w:rsid w:val="00BE069D"/>
    <w:rsid w:val="00C25856"/>
    <w:rsid w:val="00D1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74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E069D"/>
    <w:rPr>
      <w:b w:val="0"/>
      <w:bCs w:val="0"/>
      <w:color w:val="888888"/>
      <w:u w:val="single"/>
    </w:rPr>
  </w:style>
  <w:style w:type="paragraph" w:styleId="NormaleWeb">
    <w:name w:val="Normal (Web)"/>
    <w:basedOn w:val="Normale"/>
    <w:uiPriority w:val="99"/>
    <w:unhideWhenUsed/>
    <w:rsid w:val="00BE069D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E069D"/>
    <w:rPr>
      <w:b/>
      <w:bCs/>
    </w:rPr>
  </w:style>
  <w:style w:type="character" w:styleId="Enfasicorsivo">
    <w:name w:val="Emphasis"/>
    <w:basedOn w:val="Carpredefinitoparagrafo"/>
    <w:uiPriority w:val="20"/>
    <w:qFormat/>
    <w:rsid w:val="00BE069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60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8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4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Coviello</dc:creator>
  <cp:lastModifiedBy>Enrico Coviello</cp:lastModifiedBy>
  <cp:revision>2</cp:revision>
  <dcterms:created xsi:type="dcterms:W3CDTF">2014-11-04T11:56:00Z</dcterms:created>
  <dcterms:modified xsi:type="dcterms:W3CDTF">2014-11-04T11:56:00Z</dcterms:modified>
</cp:coreProperties>
</file>